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56" w:rsidRPr="00E54ADE" w:rsidRDefault="006E5556" w:rsidP="006E5556">
      <w:pPr>
        <w:spacing w:after="0" w:line="360" w:lineRule="auto"/>
        <w:jc w:val="both"/>
        <w:rPr>
          <w:rFonts w:ascii="Palatino Linotype" w:hAnsi="Palatino Linotype" w:cs="Arial"/>
          <w:b/>
          <w:sz w:val="24"/>
          <w:szCs w:val="24"/>
          <w:lang w:val="es-MX"/>
        </w:rPr>
      </w:pPr>
      <w:bookmarkStart w:id="0" w:name="_GoBack"/>
      <w:bookmarkEnd w:id="0"/>
      <w:r w:rsidRPr="00E54ADE">
        <w:rPr>
          <w:rFonts w:ascii="Palatino Linotype" w:hAnsi="Palatino Linotype" w:cs="Arial"/>
          <w:b/>
          <w:sz w:val="24"/>
          <w:szCs w:val="24"/>
          <w:lang w:val="es-MX"/>
        </w:rPr>
        <w:t>VOTO PARTICULAR DEL COMISIONADO JOSÉ GUADALUPE LUNA HERNÁNDEZ DEL RECURSO DE REVISIÓN 02049/INFOEM/IP/RR/2018.</w:t>
      </w: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b/>
          <w:sz w:val="24"/>
          <w:szCs w:val="24"/>
          <w:lang w:val="es-MX"/>
        </w:rPr>
      </w:pPr>
      <w:r w:rsidRPr="00E54ADE">
        <w:rPr>
          <w:rFonts w:ascii="Palatino Linotype" w:hAnsi="Palatino Linotype" w:cs="Arial"/>
          <w:b/>
          <w:sz w:val="24"/>
          <w:szCs w:val="24"/>
          <w:lang w:val="es-MX"/>
        </w:rPr>
        <w:t>Líneas argumentativas:</w:t>
      </w:r>
    </w:p>
    <w:p w:rsidR="006E5556" w:rsidRPr="00E54ADE" w:rsidRDefault="006E5556" w:rsidP="006E5556">
      <w:pPr>
        <w:spacing w:after="0" w:line="24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6E5556" w:rsidRPr="00E54ADE" w:rsidRDefault="006E5556" w:rsidP="006E5556">
      <w:pPr>
        <w:spacing w:after="0" w:line="24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t>La figura de actos consentidos no debe ser invocada en el derecho humano fundamental de acceder a la información pública gubernamental.</w:t>
      </w:r>
    </w:p>
    <w:p w:rsidR="006E5556" w:rsidRPr="00E54ADE" w:rsidRDefault="006E5556" w:rsidP="006E5556">
      <w:pPr>
        <w:spacing w:after="0" w:line="24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6E5556" w:rsidRPr="00E54ADE" w:rsidRDefault="006E5556" w:rsidP="006E5556">
      <w:pPr>
        <w:spacing w:after="0" w:line="24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6E5556" w:rsidRPr="00E54ADE" w:rsidRDefault="006E5556" w:rsidP="006E5556">
      <w:pPr>
        <w:spacing w:after="0" w:line="24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Los órganos del Estado, tienen el deber de cumplir sus atribuciones, de prevenir violaciones a los derechos fundamentales.</w:t>
      </w: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spacing w:after="0" w:line="360" w:lineRule="auto"/>
        <w:jc w:val="both"/>
        <w:rPr>
          <w:rFonts w:ascii="Palatino Linotype" w:hAnsi="Palatino Linotype" w:cs="Arial"/>
          <w:sz w:val="24"/>
          <w:szCs w:val="24"/>
          <w:lang w:val="es-MX"/>
        </w:rPr>
      </w:pPr>
      <w:r w:rsidRPr="00E54ADE">
        <w:rPr>
          <w:rFonts w:ascii="Palatino Linotype" w:hAnsi="Palatino Linotype" w:cs="Arial"/>
          <w:b/>
          <w:sz w:val="24"/>
          <w:szCs w:val="24"/>
          <w:lang w:val="es-MX"/>
        </w:rPr>
        <w:t>Índice</w:t>
      </w:r>
    </w:p>
    <w:sdt>
      <w:sdtPr>
        <w:rPr>
          <w:rFonts w:ascii="Palatino Linotype" w:hAnsi="Palatino Linotype"/>
        </w:rPr>
        <w:id w:val="-1628690016"/>
        <w:docPartObj>
          <w:docPartGallery w:val="Table of Contents"/>
          <w:docPartUnique/>
        </w:docPartObj>
      </w:sdtPr>
      <w:sdtEndPr>
        <w:rPr>
          <w:b/>
          <w:bCs/>
        </w:rPr>
      </w:sdtEndPr>
      <w:sdtContent>
        <w:p w:rsidR="006E5556" w:rsidRPr="00E54ADE" w:rsidRDefault="006E5556" w:rsidP="006E5556">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E54ADE" w:rsidRPr="00E54ADE" w:rsidRDefault="006E5556">
          <w:pPr>
            <w:pStyle w:val="TDC1"/>
            <w:tabs>
              <w:tab w:val="left" w:pos="440"/>
              <w:tab w:val="right" w:leader="dot" w:pos="8828"/>
            </w:tabs>
            <w:rPr>
              <w:noProof/>
            </w:rPr>
          </w:pPr>
          <w:r w:rsidRPr="00E54ADE">
            <w:rPr>
              <w:rFonts w:ascii="Palatino Linotype" w:hAnsi="Palatino Linotype"/>
              <w:lang w:val="es-MX"/>
            </w:rPr>
            <w:fldChar w:fldCharType="begin"/>
          </w:r>
          <w:r w:rsidRPr="00E54ADE">
            <w:rPr>
              <w:rFonts w:ascii="Palatino Linotype" w:hAnsi="Palatino Linotype"/>
              <w:lang w:val="es-MX"/>
            </w:rPr>
            <w:instrText xml:space="preserve"> TOC \o "1-3" \h \z \u </w:instrText>
          </w:r>
          <w:r w:rsidRPr="00E54ADE">
            <w:rPr>
              <w:rFonts w:ascii="Palatino Linotype" w:hAnsi="Palatino Linotype"/>
              <w:lang w:val="es-MX"/>
            </w:rPr>
            <w:fldChar w:fldCharType="separate"/>
          </w:r>
          <w:hyperlink w:anchor="_Toc521328960" w:history="1">
            <w:r w:rsidR="00E54ADE" w:rsidRPr="00E54ADE">
              <w:rPr>
                <w:rStyle w:val="Hipervnculo"/>
                <w:rFonts w:ascii="Palatino Linotype" w:eastAsiaTheme="majorEastAsia" w:hAnsi="Palatino Linotype" w:cstheme="majorBidi"/>
                <w:b/>
                <w:noProof/>
                <w:lang w:val="es-MX"/>
              </w:rPr>
              <w:t>I.</w:t>
            </w:r>
            <w:r w:rsidR="00E54ADE" w:rsidRPr="00E54ADE">
              <w:rPr>
                <w:noProof/>
              </w:rPr>
              <w:tab/>
            </w:r>
            <w:r w:rsidR="00E54ADE" w:rsidRPr="00E54ADE">
              <w:rPr>
                <w:rStyle w:val="Hipervnculo"/>
                <w:rFonts w:ascii="Palatino Linotype" w:eastAsiaTheme="majorEastAsia" w:hAnsi="Palatino Linotype" w:cstheme="majorBidi"/>
                <w:b/>
                <w:noProof/>
                <w:lang w:val="es-MX"/>
              </w:rPr>
              <w:t>Consideraciones Generales.</w:t>
            </w:r>
            <w:r w:rsidR="00E54ADE" w:rsidRPr="00E54ADE">
              <w:rPr>
                <w:noProof/>
                <w:webHidden/>
              </w:rPr>
              <w:tab/>
            </w:r>
            <w:r w:rsidR="00E54ADE" w:rsidRPr="00E54ADE">
              <w:rPr>
                <w:noProof/>
                <w:webHidden/>
              </w:rPr>
              <w:fldChar w:fldCharType="begin"/>
            </w:r>
            <w:r w:rsidR="00E54ADE" w:rsidRPr="00E54ADE">
              <w:rPr>
                <w:noProof/>
                <w:webHidden/>
              </w:rPr>
              <w:instrText xml:space="preserve"> PAGEREF _Toc521328960 \h </w:instrText>
            </w:r>
            <w:r w:rsidR="00E54ADE" w:rsidRPr="00E54ADE">
              <w:rPr>
                <w:noProof/>
                <w:webHidden/>
              </w:rPr>
            </w:r>
            <w:r w:rsidR="00E54ADE" w:rsidRPr="00E54ADE">
              <w:rPr>
                <w:noProof/>
                <w:webHidden/>
              </w:rPr>
              <w:fldChar w:fldCharType="separate"/>
            </w:r>
            <w:r w:rsidR="006A4A19">
              <w:rPr>
                <w:noProof/>
                <w:webHidden/>
              </w:rPr>
              <w:t>2</w:t>
            </w:r>
            <w:r w:rsidR="00E54ADE" w:rsidRPr="00E54ADE">
              <w:rPr>
                <w:noProof/>
                <w:webHidden/>
              </w:rPr>
              <w:fldChar w:fldCharType="end"/>
            </w:r>
          </w:hyperlink>
        </w:p>
        <w:p w:rsidR="00E54ADE" w:rsidRPr="00E54ADE" w:rsidRDefault="008033E4">
          <w:pPr>
            <w:pStyle w:val="TDC1"/>
            <w:tabs>
              <w:tab w:val="left" w:pos="660"/>
              <w:tab w:val="right" w:leader="dot" w:pos="8828"/>
            </w:tabs>
            <w:rPr>
              <w:noProof/>
            </w:rPr>
          </w:pPr>
          <w:hyperlink w:anchor="_Toc521328961" w:history="1">
            <w:r w:rsidR="00E54ADE" w:rsidRPr="00E54ADE">
              <w:rPr>
                <w:rStyle w:val="Hipervnculo"/>
                <w:rFonts w:ascii="Palatino Linotype" w:eastAsiaTheme="majorEastAsia" w:hAnsi="Palatino Linotype" w:cstheme="majorBidi"/>
                <w:b/>
                <w:noProof/>
                <w:lang w:val="es-MX"/>
              </w:rPr>
              <w:t>II.</w:t>
            </w:r>
            <w:r w:rsidR="00E54ADE" w:rsidRPr="00E54ADE">
              <w:rPr>
                <w:noProof/>
              </w:rPr>
              <w:tab/>
            </w:r>
            <w:r w:rsidR="00E54ADE" w:rsidRPr="00E54ADE">
              <w:rPr>
                <w:rStyle w:val="Hipervnculo"/>
                <w:rFonts w:ascii="Palatino Linotype" w:eastAsiaTheme="majorEastAsia" w:hAnsi="Palatino Linotype" w:cstheme="majorBidi"/>
                <w:b/>
                <w:noProof/>
                <w:lang w:val="es-MX"/>
              </w:rPr>
              <w:t>De los requerimientos planteados en el recurso de revisión.</w:t>
            </w:r>
            <w:r w:rsidR="00E54ADE" w:rsidRPr="00E54ADE">
              <w:rPr>
                <w:noProof/>
                <w:webHidden/>
              </w:rPr>
              <w:tab/>
            </w:r>
            <w:r w:rsidR="00E54ADE" w:rsidRPr="00E54ADE">
              <w:rPr>
                <w:noProof/>
                <w:webHidden/>
              </w:rPr>
              <w:fldChar w:fldCharType="begin"/>
            </w:r>
            <w:r w:rsidR="00E54ADE" w:rsidRPr="00E54ADE">
              <w:rPr>
                <w:noProof/>
                <w:webHidden/>
              </w:rPr>
              <w:instrText xml:space="preserve"> PAGEREF _Toc521328961 \h </w:instrText>
            </w:r>
            <w:r w:rsidR="00E54ADE" w:rsidRPr="00E54ADE">
              <w:rPr>
                <w:noProof/>
                <w:webHidden/>
              </w:rPr>
            </w:r>
            <w:r w:rsidR="00E54ADE" w:rsidRPr="00E54ADE">
              <w:rPr>
                <w:noProof/>
                <w:webHidden/>
              </w:rPr>
              <w:fldChar w:fldCharType="separate"/>
            </w:r>
            <w:r w:rsidR="006A4A19">
              <w:rPr>
                <w:noProof/>
                <w:webHidden/>
              </w:rPr>
              <w:t>3</w:t>
            </w:r>
            <w:r w:rsidR="00E54ADE" w:rsidRPr="00E54ADE">
              <w:rPr>
                <w:noProof/>
                <w:webHidden/>
              </w:rPr>
              <w:fldChar w:fldCharType="end"/>
            </w:r>
          </w:hyperlink>
        </w:p>
        <w:p w:rsidR="00E54ADE" w:rsidRPr="00E54ADE" w:rsidRDefault="008033E4">
          <w:pPr>
            <w:pStyle w:val="TDC1"/>
            <w:tabs>
              <w:tab w:val="left" w:pos="660"/>
              <w:tab w:val="right" w:leader="dot" w:pos="8828"/>
            </w:tabs>
            <w:rPr>
              <w:noProof/>
            </w:rPr>
          </w:pPr>
          <w:hyperlink w:anchor="_Toc521328962" w:history="1">
            <w:r w:rsidR="00E54ADE" w:rsidRPr="00E54ADE">
              <w:rPr>
                <w:rStyle w:val="Hipervnculo"/>
                <w:rFonts w:ascii="Palatino Linotype" w:eastAsiaTheme="majorEastAsia" w:hAnsi="Palatino Linotype" w:cstheme="majorBidi"/>
                <w:b/>
                <w:noProof/>
                <w:lang w:val="es-MX"/>
              </w:rPr>
              <w:t>III.</w:t>
            </w:r>
            <w:r w:rsidR="00E54ADE" w:rsidRPr="00E54ADE">
              <w:rPr>
                <w:noProof/>
              </w:rPr>
              <w:tab/>
            </w:r>
            <w:r w:rsidR="00E54ADE" w:rsidRPr="00E54ADE">
              <w:rPr>
                <w:rStyle w:val="Hipervnculo"/>
                <w:rFonts w:ascii="Palatino Linotype" w:eastAsiaTheme="majorEastAsia" w:hAnsi="Palatino Linotype" w:cstheme="majorBidi"/>
                <w:b/>
                <w:noProof/>
                <w:lang w:val="es-MX"/>
              </w:rPr>
              <w:t>Los actos consentidos no deben invocarse en el derecho fundamental de acceder a la información pública gubernamental.</w:t>
            </w:r>
            <w:r w:rsidR="00E54ADE" w:rsidRPr="00E54ADE">
              <w:rPr>
                <w:noProof/>
                <w:webHidden/>
              </w:rPr>
              <w:tab/>
            </w:r>
            <w:r w:rsidR="00E54ADE" w:rsidRPr="00E54ADE">
              <w:rPr>
                <w:noProof/>
                <w:webHidden/>
              </w:rPr>
              <w:fldChar w:fldCharType="begin"/>
            </w:r>
            <w:r w:rsidR="00E54ADE" w:rsidRPr="00E54ADE">
              <w:rPr>
                <w:noProof/>
                <w:webHidden/>
              </w:rPr>
              <w:instrText xml:space="preserve"> PAGEREF _Toc521328962 \h </w:instrText>
            </w:r>
            <w:r w:rsidR="00E54ADE" w:rsidRPr="00E54ADE">
              <w:rPr>
                <w:noProof/>
                <w:webHidden/>
              </w:rPr>
            </w:r>
            <w:r w:rsidR="00E54ADE" w:rsidRPr="00E54ADE">
              <w:rPr>
                <w:noProof/>
                <w:webHidden/>
              </w:rPr>
              <w:fldChar w:fldCharType="separate"/>
            </w:r>
            <w:r w:rsidR="006A4A19">
              <w:rPr>
                <w:noProof/>
                <w:webHidden/>
              </w:rPr>
              <w:t>8</w:t>
            </w:r>
            <w:r w:rsidR="00E54ADE" w:rsidRPr="00E54ADE">
              <w:rPr>
                <w:noProof/>
                <w:webHidden/>
              </w:rPr>
              <w:fldChar w:fldCharType="end"/>
            </w:r>
          </w:hyperlink>
        </w:p>
        <w:p w:rsidR="006E5556" w:rsidRPr="00E54ADE" w:rsidRDefault="006E5556" w:rsidP="00E54ADE">
          <w:pPr>
            <w:spacing w:line="360" w:lineRule="auto"/>
            <w:rPr>
              <w:rFonts w:ascii="Palatino Linotype" w:hAnsi="Palatino Linotype"/>
              <w:lang w:val="es-MX"/>
            </w:rPr>
          </w:pPr>
          <w:r w:rsidRPr="00E54ADE">
            <w:rPr>
              <w:rFonts w:ascii="Palatino Linotype" w:hAnsi="Palatino Linotype"/>
              <w:b/>
              <w:bCs/>
            </w:rPr>
            <w:fldChar w:fldCharType="end"/>
          </w:r>
        </w:p>
      </w:sdtContent>
    </w:sdt>
    <w:p w:rsidR="006E5556" w:rsidRPr="00E54ADE" w:rsidRDefault="006E5556" w:rsidP="006E5556">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1" w:name="_Toc521328960"/>
      <w:r w:rsidRPr="00E54ADE">
        <w:rPr>
          <w:rFonts w:ascii="Palatino Linotype" w:eastAsiaTheme="majorEastAsia" w:hAnsi="Palatino Linotype" w:cstheme="majorBidi"/>
          <w:b/>
          <w:sz w:val="24"/>
          <w:szCs w:val="24"/>
          <w:lang w:val="es-MX"/>
        </w:rPr>
        <w:t>Consideraciones Generales.</w:t>
      </w:r>
      <w:bookmarkEnd w:id="1"/>
    </w:p>
    <w:p w:rsidR="006E5556" w:rsidRPr="00E54ADE" w:rsidRDefault="006E5556" w:rsidP="006E5556">
      <w:pPr>
        <w:spacing w:after="0" w:line="360" w:lineRule="auto"/>
        <w:ind w:left="1080"/>
        <w:contextualSpacing/>
        <w:jc w:val="both"/>
        <w:rPr>
          <w:rFonts w:ascii="Palatino Linotype" w:hAnsi="Palatino Linotype" w:cs="Arial"/>
          <w:b/>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eastAsia="Times New Roman" w:hAnsi="Palatino Linotype" w:cs="Arial"/>
          <w:sz w:val="24"/>
          <w:szCs w:val="24"/>
          <w:lang w:val="es-ES_tradnl"/>
        </w:rPr>
        <w:t xml:space="preserve">He concurrido con mi voto particular de la presente resolución emitida </w:t>
      </w:r>
      <w:r w:rsidRPr="00E54ADE">
        <w:rPr>
          <w:rFonts w:ascii="Palatino Linotype" w:hAnsi="Palatino Linotype" w:cs="Arial"/>
          <w:sz w:val="24"/>
          <w:szCs w:val="24"/>
          <w:lang w:val="es-MX"/>
        </w:rPr>
        <w:t>por el Pleno del Instituto de Transparencia, Acceso a la Información Pública y Protección de Datos Personales del Estado de México y Municipios, en su Vigésima Séptima Sesión Ordinaria de fecha primero (1) de agosto de dos mil dieciocho, en el recurso de revisión promovido por</w:t>
      </w:r>
      <w:r w:rsidRPr="00E54ADE">
        <w:rPr>
          <w:rFonts w:ascii="Palatino Linotype" w:eastAsia="Times New Roman" w:hAnsi="Palatino Linotype" w:cs="Arial"/>
          <w:b/>
          <w:sz w:val="24"/>
          <w:szCs w:val="24"/>
          <w:lang w:eastAsia="es-ES"/>
        </w:rPr>
        <w:t xml:space="preserve"> </w:t>
      </w:r>
      <w:r w:rsidR="00C156DB">
        <w:rPr>
          <w:rFonts w:ascii="Palatino Linotype" w:hAnsi="Palatino Linotype"/>
          <w:b/>
        </w:rPr>
        <w:t>***************************</w:t>
      </w:r>
      <w:r w:rsidRPr="00E54ADE">
        <w:rPr>
          <w:rFonts w:ascii="Palatino Linotype" w:hAnsi="Palatino Linotype" w:cs="Arial"/>
          <w:sz w:val="24"/>
          <w:szCs w:val="24"/>
          <w:lang w:val="es-MX"/>
        </w:rPr>
        <w:t>,</w:t>
      </w:r>
      <w:r w:rsidRPr="00E54ADE">
        <w:rPr>
          <w:rFonts w:ascii="Palatino Linotype" w:hAnsi="Palatino Linotype" w:cs="Arial"/>
          <w:b/>
          <w:sz w:val="24"/>
          <w:szCs w:val="24"/>
          <w:lang w:val="es-MX"/>
        </w:rPr>
        <w:t xml:space="preserve"> </w:t>
      </w:r>
      <w:r w:rsidRPr="00E54ADE">
        <w:rPr>
          <w:rFonts w:ascii="Palatino Linotype" w:hAnsi="Palatino Linotype" w:cs="Arial"/>
          <w:sz w:val="24"/>
          <w:szCs w:val="24"/>
          <w:lang w:val="es-MX"/>
        </w:rPr>
        <w:t>en contra de la respuesta de la</w:t>
      </w:r>
      <w:r w:rsidRPr="00E54ADE">
        <w:rPr>
          <w:rFonts w:ascii="Palatino Linotype" w:eastAsia="Times New Roman" w:hAnsi="Palatino Linotype" w:cs="Arial"/>
          <w:b/>
          <w:sz w:val="24"/>
          <w:szCs w:val="24"/>
          <w:lang w:eastAsia="es-ES"/>
        </w:rPr>
        <w:t xml:space="preserve"> </w:t>
      </w:r>
      <w:r w:rsidRPr="00E54ADE">
        <w:rPr>
          <w:rFonts w:ascii="Palatino Linotype" w:hAnsi="Palatino Linotype" w:cs="Arial"/>
          <w:b/>
          <w:sz w:val="24"/>
          <w:szCs w:val="24"/>
        </w:rPr>
        <w:t>Universidad Politécnica del Valle de Toluca</w:t>
      </w:r>
      <w:r w:rsidRPr="00E54ADE">
        <w:rPr>
          <w:rFonts w:ascii="Palatino Linotype" w:eastAsia="Times New Roman" w:hAnsi="Palatino Linotype" w:cs="Arial"/>
          <w:b/>
          <w:sz w:val="24"/>
          <w:szCs w:val="24"/>
          <w:lang w:eastAsia="es-ES"/>
        </w:rPr>
        <w:t xml:space="preserve">, </w:t>
      </w:r>
      <w:r w:rsidRPr="00E54ADE">
        <w:rPr>
          <w:rFonts w:ascii="Palatino Linotype" w:hAnsi="Palatino Linotype" w:cs="Arial"/>
          <w:sz w:val="24"/>
          <w:szCs w:val="24"/>
          <w:lang w:val="es-MX"/>
        </w:rPr>
        <w:t xml:space="preserve">procedimiento al que se le asignó el número de expediente </w:t>
      </w:r>
      <w:r w:rsidRPr="00E54ADE">
        <w:rPr>
          <w:rFonts w:ascii="Palatino Linotype" w:eastAsia="Times New Roman" w:hAnsi="Palatino Linotype" w:cs="Arial"/>
          <w:b/>
          <w:bCs/>
          <w:sz w:val="24"/>
          <w:szCs w:val="24"/>
          <w:lang w:val="es-MX" w:eastAsia="es-ES"/>
        </w:rPr>
        <w:t>02049/INFOEM/IP/RR/2018.</w:t>
      </w:r>
    </w:p>
    <w:p w:rsidR="006E5556" w:rsidRPr="00E54ADE" w:rsidRDefault="006E5556"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before="240" w:after="240" w:line="360" w:lineRule="auto"/>
        <w:ind w:right="49"/>
        <w:contextualSpacing/>
        <w:jc w:val="both"/>
        <w:rPr>
          <w:rFonts w:ascii="Palatino Linotype" w:hAnsi="Palatino Linotype" w:cs="Arial"/>
          <w:sz w:val="24"/>
          <w:szCs w:val="24"/>
          <w:lang w:val="es-MX"/>
        </w:rPr>
      </w:pPr>
      <w:r w:rsidRPr="00E54ADE">
        <w:rPr>
          <w:rFonts w:ascii="Palatino Linotype" w:hAnsi="Palatino Linotype" w:cs="Arial"/>
          <w:color w:val="000000" w:themeColor="text1"/>
          <w:sz w:val="24"/>
          <w:szCs w:val="24"/>
        </w:rPr>
        <w:lastRenderedPageBreak/>
        <w:t xml:space="preserve">La resolución puntualmente determina </w:t>
      </w:r>
      <w:r w:rsidRPr="00E54ADE">
        <w:rPr>
          <w:rFonts w:ascii="Palatino Linotype" w:hAnsi="Palatino Linotype" w:cs="Arial"/>
          <w:b/>
          <w:color w:val="000000" w:themeColor="text1"/>
          <w:sz w:val="24"/>
          <w:szCs w:val="24"/>
        </w:rPr>
        <w:t>MODIFICAR</w:t>
      </w:r>
      <w:r w:rsidRPr="00E54ADE">
        <w:rPr>
          <w:rFonts w:ascii="Palatino Linotype" w:hAnsi="Palatino Linotype" w:cs="Arial"/>
          <w:color w:val="000000" w:themeColor="text1"/>
          <w:sz w:val="24"/>
          <w:szCs w:val="24"/>
        </w:rPr>
        <w:t xml:space="preserve"> la respuesta del Sujeto Obligado y </w:t>
      </w:r>
      <w:r w:rsidRPr="00E54ADE">
        <w:rPr>
          <w:rFonts w:ascii="Palatino Linotype" w:hAnsi="Palatino Linotype" w:cs="Arial"/>
          <w:b/>
          <w:color w:val="000000" w:themeColor="text1"/>
          <w:sz w:val="24"/>
          <w:szCs w:val="24"/>
        </w:rPr>
        <w:t>ORDENAR</w:t>
      </w:r>
      <w:r w:rsidRPr="00E54ADE">
        <w:rPr>
          <w:rFonts w:ascii="Palatino Linotype" w:hAnsi="Palatino Linotype" w:cs="Arial"/>
          <w:color w:val="000000" w:themeColor="text1"/>
          <w:sz w:val="24"/>
          <w:szCs w:val="24"/>
        </w:rPr>
        <w:t xml:space="preserve"> la entrega</w:t>
      </w:r>
      <w:r w:rsidRPr="00E54ADE">
        <w:rPr>
          <w:rFonts w:ascii="Palatino Linotype" w:hAnsi="Palatino Linotype" w:cs="Arial"/>
          <w:sz w:val="24"/>
          <w:szCs w:val="24"/>
          <w:lang w:val="es-MX"/>
        </w:rPr>
        <w:t xml:space="preserve"> de la información,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6E5556" w:rsidRPr="00E54ADE" w:rsidRDefault="006E5556" w:rsidP="006E5556">
      <w:pPr>
        <w:ind w:left="720"/>
        <w:contextualSpacing/>
        <w:rPr>
          <w:rFonts w:ascii="Palatino Linotype" w:hAnsi="Palatino Linotype" w:cs="Arial"/>
          <w:sz w:val="24"/>
          <w:szCs w:val="24"/>
          <w:lang w:val="es-MX"/>
        </w:rPr>
      </w:pPr>
    </w:p>
    <w:p w:rsidR="006E5556" w:rsidRPr="00E54ADE" w:rsidRDefault="006E5556" w:rsidP="006E5556">
      <w:pPr>
        <w:numPr>
          <w:ilvl w:val="0"/>
          <w:numId w:val="1"/>
        </w:numPr>
        <w:spacing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6E5556" w:rsidRPr="00E54ADE" w:rsidRDefault="006E5556" w:rsidP="006E5556">
      <w:pPr>
        <w:ind w:left="720"/>
        <w:contextualSpacing/>
        <w:rPr>
          <w:rFonts w:ascii="Palatino Linotype" w:hAnsi="Palatino Linotype" w:cs="Arial"/>
          <w:sz w:val="24"/>
          <w:szCs w:val="24"/>
          <w:lang w:val="es-MX"/>
        </w:rPr>
      </w:pPr>
    </w:p>
    <w:p w:rsidR="006E5556" w:rsidRPr="00E54ADE" w:rsidRDefault="006E5556" w:rsidP="006E5556">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21328961"/>
      <w:r w:rsidRPr="00E54ADE">
        <w:rPr>
          <w:rFonts w:ascii="Palatino Linotype" w:eastAsiaTheme="majorEastAsia" w:hAnsi="Palatino Linotype" w:cstheme="majorBidi"/>
          <w:b/>
          <w:sz w:val="24"/>
          <w:szCs w:val="24"/>
          <w:lang w:val="es-MX"/>
        </w:rPr>
        <w:t>De los requerimientos planteados en el recurso de revisión.</w:t>
      </w:r>
      <w:bookmarkEnd w:id="2"/>
    </w:p>
    <w:p w:rsidR="006E5556" w:rsidRPr="00E54ADE" w:rsidRDefault="006E5556" w:rsidP="006E5556">
      <w:pPr>
        <w:spacing w:line="360" w:lineRule="auto"/>
        <w:ind w:left="108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E54ADE">
        <w:rPr>
          <w:rFonts w:ascii="Palatino Linotype" w:hAnsi="Palatino Linotype" w:cs="Arial"/>
          <w:sz w:val="24"/>
          <w:szCs w:val="24"/>
          <w:lang w:val="es-MX"/>
        </w:rPr>
        <w:t>El particular solicitó al Sujeto Obligado la siguiente información:</w:t>
      </w:r>
    </w:p>
    <w:p w:rsidR="006E5556" w:rsidRPr="00E54ADE" w:rsidRDefault="006E5556" w:rsidP="006E5556">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E54ADE">
        <w:rPr>
          <w:rFonts w:ascii="Palatino Linotype" w:eastAsia="Times New Roman" w:hAnsi="Palatino Linotype" w:cs="Times New Roman"/>
          <w:i/>
          <w:sz w:val="24"/>
          <w:szCs w:val="24"/>
          <w:lang w:val="es-ES_tradnl" w:eastAsia="es-ES"/>
        </w:rPr>
        <w:t xml:space="preserve"> </w:t>
      </w:r>
    </w:p>
    <w:p w:rsidR="006E5556" w:rsidRPr="00E54ADE" w:rsidRDefault="006E5556" w:rsidP="006E5556">
      <w:pPr>
        <w:spacing w:before="240" w:after="240" w:line="276" w:lineRule="auto"/>
        <w:ind w:left="851" w:right="901"/>
        <w:jc w:val="both"/>
        <w:rPr>
          <w:rFonts w:ascii="Palatino Linotype" w:eastAsia="Times New Roman" w:hAnsi="Palatino Linotype" w:cs="Arial"/>
          <w:i/>
          <w:lang w:eastAsia="es-ES"/>
        </w:rPr>
      </w:pPr>
      <w:r w:rsidRPr="00E54ADE">
        <w:rPr>
          <w:rFonts w:ascii="Palatino Linotype" w:eastAsia="Times New Roman" w:hAnsi="Palatino Linotype" w:cs="Arial"/>
          <w:i/>
          <w:lang w:val="es-MX" w:eastAsia="es-ES"/>
        </w:rPr>
        <w:t>“</w:t>
      </w:r>
      <w:r w:rsidRPr="00E54ADE">
        <w:rPr>
          <w:rFonts w:ascii="Palatino Linotype" w:eastAsia="Times New Roman" w:hAnsi="Palatino Linotype" w:cs="Arial"/>
          <w:i/>
          <w:lang w:eastAsia="es-ES"/>
        </w:rPr>
        <w:t>“Relación de puestos de secretarías, auxiliares administrativos, técnicos laboratoristas, jefes de oficina, indicando la persona y área a la que se pertenece y cual fue su proceso de selección para ocupar el puesto que se indique.” (Sic.)</w:t>
      </w: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El Sujeto Obligado dio como respuesta lo siguiente y adjuntó el archivo electrónico </w:t>
      </w:r>
      <w:hyperlink r:id="rId7" w:tgtFrame="_blank" w:history="1">
        <w:r w:rsidRPr="00E54ADE">
          <w:rPr>
            <w:b/>
            <w:i/>
            <w:lang w:val="es-MX"/>
          </w:rPr>
          <w:t>REQ. 300001.pdf</w:t>
        </w:r>
      </w:hyperlink>
      <w:r w:rsidRPr="00E54ADE">
        <w:rPr>
          <w:rFonts w:ascii="Palatino Linotype" w:hAnsi="Palatino Linotype" w:cs="Arial"/>
          <w:i/>
          <w:sz w:val="24"/>
          <w:szCs w:val="24"/>
          <w:lang w:val="es-MX"/>
        </w:rPr>
        <w:t>:</w:t>
      </w:r>
    </w:p>
    <w:p w:rsidR="006E5556" w:rsidRPr="00E54ADE" w:rsidRDefault="006E5556" w:rsidP="006E5556">
      <w:pPr>
        <w:spacing w:before="240" w:after="240" w:line="360" w:lineRule="auto"/>
        <w:ind w:left="426" w:right="616" w:hanging="426"/>
        <w:jc w:val="both"/>
        <w:rPr>
          <w:rFonts w:ascii="Palatino Linotype" w:eastAsia="Times New Roman" w:hAnsi="Palatino Linotype" w:cs="Arial"/>
          <w:i/>
          <w:lang w:eastAsia="es-ES"/>
        </w:rPr>
      </w:pPr>
      <w:r w:rsidRPr="00E54ADE">
        <w:rPr>
          <w:rFonts w:ascii="Palatino Linotype" w:eastAsia="Times New Roman" w:hAnsi="Palatino Linotype" w:cs="Arial"/>
          <w:sz w:val="24"/>
          <w:szCs w:val="24"/>
          <w:lang w:eastAsia="es-ES"/>
        </w:rPr>
        <w:t xml:space="preserve">     </w:t>
      </w:r>
      <w:r w:rsidRPr="00E54ADE">
        <w:rPr>
          <w:rFonts w:ascii="Palatino Linotype" w:eastAsia="Times New Roman" w:hAnsi="Palatino Linotype" w:cs="Arial"/>
          <w:i/>
          <w:lang w:eastAsia="es-ES"/>
        </w:rPr>
        <w:t xml:space="preserve">“…En atención a la solicitud de información pública registrada con el número de folio 00193/UPVT/IP/2018 que realizó el 9 de mayo del año en curso, sírvase encontrar en </w:t>
      </w:r>
      <w:r w:rsidRPr="00E54ADE">
        <w:rPr>
          <w:rFonts w:ascii="Palatino Linotype" w:eastAsia="Times New Roman" w:hAnsi="Palatino Linotype" w:cs="Arial"/>
          <w:i/>
          <w:lang w:eastAsia="es-ES"/>
        </w:rPr>
        <w:lastRenderedPageBreak/>
        <w:t>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(Sic.)</w:t>
      </w:r>
    </w:p>
    <w:p w:rsidR="006E5556" w:rsidRPr="00E54ADE" w:rsidRDefault="006E5556" w:rsidP="006E5556">
      <w:pPr>
        <w:spacing w:before="240" w:after="240" w:line="360" w:lineRule="auto"/>
        <w:ind w:left="426" w:right="616" w:hanging="426"/>
        <w:jc w:val="both"/>
        <w:rPr>
          <w:rFonts w:ascii="Palatino Linotype" w:eastAsia="Times New Roman" w:hAnsi="Palatino Linotype" w:cs="Arial"/>
          <w:i/>
          <w:lang w:eastAsia="es-ES"/>
        </w:rPr>
      </w:pPr>
      <w:r w:rsidRPr="00E54ADE">
        <w:rPr>
          <w:rFonts w:ascii="Palatino Linotype" w:eastAsia="Times New Roman" w:hAnsi="Palatino Linotype" w:cs="Arial"/>
          <w:i/>
          <w:lang w:eastAsia="es-ES"/>
        </w:rPr>
        <w:t xml:space="preserve">       El Sujeto Obligado adjuntó a su respuesta los archivos “00193UPVTIP2018.pdf” y “OFICIO DE RESPUESTA SOLI 193.pdf”, los cuales contienen lo siguiente:</w:t>
      </w:r>
    </w:p>
    <w:p w:rsidR="006E5556" w:rsidRPr="00E54ADE" w:rsidRDefault="006E5556" w:rsidP="006E5556">
      <w:pPr>
        <w:numPr>
          <w:ilvl w:val="0"/>
          <w:numId w:val="3"/>
        </w:numPr>
        <w:spacing w:before="240" w:after="240" w:line="360" w:lineRule="auto"/>
        <w:ind w:right="616"/>
        <w:jc w:val="both"/>
        <w:rPr>
          <w:rFonts w:ascii="Palatino Linotype" w:eastAsia="Times New Roman" w:hAnsi="Palatino Linotype" w:cs="Arial"/>
          <w:i/>
          <w:lang w:eastAsia="es-ES"/>
        </w:rPr>
      </w:pPr>
      <w:r w:rsidRPr="00E54ADE">
        <w:rPr>
          <w:rFonts w:ascii="Palatino Linotype" w:eastAsia="Times New Roman" w:hAnsi="Palatino Linotype" w:cs="Arial"/>
          <w:i/>
          <w:lang w:eastAsia="es-ES"/>
        </w:rPr>
        <w:t>El archivo “00193UPVTIP2018.pdf”, contiene el oficio número 205BL14002/304/2018 de fecha treinta de mayo de dos mil dieciocho, remitido por la Jefa del Departamento de Recursos Humanos y Materiales, en donde se envía la relación de puestos de secretarias, auxiliares administrativos, técnicos laboratoristas, jefes de oficina, área de adscripción y denominación del puesto.</w:t>
      </w:r>
    </w:p>
    <w:p w:rsidR="006E5556" w:rsidRPr="00E54ADE" w:rsidRDefault="006E5556" w:rsidP="009739B2">
      <w:pPr>
        <w:numPr>
          <w:ilvl w:val="0"/>
          <w:numId w:val="3"/>
        </w:numPr>
        <w:spacing w:before="240" w:after="240" w:line="360" w:lineRule="auto"/>
        <w:ind w:left="709" w:right="49" w:hanging="426"/>
        <w:jc w:val="both"/>
        <w:rPr>
          <w:rFonts w:ascii="Palatino Linotype" w:eastAsia="Times New Roman" w:hAnsi="Palatino Linotype" w:cs="Arial"/>
          <w:sz w:val="24"/>
          <w:szCs w:val="24"/>
          <w:lang w:eastAsia="es-ES"/>
        </w:rPr>
      </w:pPr>
      <w:r w:rsidRPr="00E54ADE">
        <w:rPr>
          <w:rFonts w:ascii="Palatino Linotype" w:eastAsia="Times New Roman" w:hAnsi="Palatino Linotype" w:cs="Arial"/>
          <w:i/>
          <w:lang w:eastAsia="es-ES"/>
        </w:rPr>
        <w:t>El archivo “OFICIO DE RESPUESTA SOLI 193.pdf”, contiene el oficio número 205BL16001/782/2018 de fecha treinta de mayo de dos mil dieciocho, que remite la Titular de la Unidad de Transparencia, en donde se menciona que envía un archivo adjunto en formato pdf, en donde se detalla lo relacionado con la solicitud de información.</w:t>
      </w:r>
      <w:r w:rsidRPr="00E54ADE">
        <w:rPr>
          <w:rFonts w:ascii="Palatino Linotype" w:hAnsi="Palatino Linotype" w:cs="Arial"/>
          <w:i/>
          <w:sz w:val="24"/>
          <w:szCs w:val="24"/>
          <w:lang w:val="es-MX"/>
        </w:rPr>
        <w:t xml:space="preserve"> </w:t>
      </w:r>
    </w:p>
    <w:p w:rsidR="006E5556" w:rsidRPr="00E54ADE" w:rsidRDefault="006E5556" w:rsidP="006E5556">
      <w:pPr>
        <w:numPr>
          <w:ilvl w:val="0"/>
          <w:numId w:val="1"/>
        </w:numPr>
        <w:spacing w:before="240" w:after="240" w:line="360" w:lineRule="auto"/>
        <w:contextualSpacing/>
        <w:jc w:val="both"/>
        <w:rPr>
          <w:rFonts w:ascii="Palatino Linotype" w:hAnsi="Palatino Linotype" w:cs="Arial"/>
          <w:lang w:val="es-MX"/>
        </w:rPr>
      </w:pPr>
      <w:r w:rsidRPr="00E54ADE">
        <w:rPr>
          <w:rFonts w:ascii="Palatino Linotype" w:hAnsi="Palatino Linotype" w:cs="Arial"/>
          <w:sz w:val="24"/>
          <w:szCs w:val="24"/>
          <w:lang w:val="es-MX"/>
        </w:rPr>
        <w:t>En ese sentido,</w:t>
      </w:r>
      <w:r w:rsidRPr="00E54ADE">
        <w:rPr>
          <w:rFonts w:ascii="Palatino Linotype" w:hAnsi="Palatino Linotype" w:cs="Arial"/>
          <w:b/>
          <w:lang w:val="es-MX"/>
        </w:rPr>
        <w:t xml:space="preserve"> </w:t>
      </w:r>
      <w:r w:rsidRPr="00E54ADE">
        <w:rPr>
          <w:rFonts w:ascii="Palatino Linotype" w:hAnsi="Palatino Linotype" w:cs="Arial"/>
          <w:sz w:val="24"/>
          <w:lang w:val="es-MX"/>
        </w:rPr>
        <w:t xml:space="preserve">el particular se inconformó en cuanto a la respuesta y señala como motivos de inconformidad </w:t>
      </w:r>
      <w:r w:rsidRPr="00E54ADE">
        <w:rPr>
          <w:rFonts w:ascii="Palatino Linotype" w:eastAsia="Times New Roman" w:hAnsi="Palatino Linotype" w:cs="Times New Roman"/>
          <w:i/>
          <w:color w:val="000000"/>
          <w:sz w:val="24"/>
          <w:szCs w:val="24"/>
          <w:lang w:eastAsia="es-ES"/>
        </w:rPr>
        <w:t>“</w:t>
      </w:r>
      <w:r w:rsidRPr="00E54ADE">
        <w:rPr>
          <w:rFonts w:ascii="Palatino Linotype" w:hAnsi="Palatino Linotype" w:cs="Arial"/>
          <w:i/>
        </w:rPr>
        <w:t>Falta mencionar el proceso de como llegaron a ocupar esa plaza</w:t>
      </w:r>
      <w:r w:rsidRPr="00E54ADE">
        <w:rPr>
          <w:rFonts w:ascii="Palatino Linotype" w:eastAsia="Times New Roman" w:hAnsi="Palatino Linotype" w:cs="Arial"/>
          <w:i/>
          <w:spacing w:val="-6"/>
          <w:lang w:val="es-MX" w:eastAsia="es-MX"/>
        </w:rPr>
        <w:t xml:space="preserve">“, </w:t>
      </w:r>
      <w:r w:rsidRPr="00E54ADE">
        <w:rPr>
          <w:rFonts w:ascii="Palatino Linotype" w:hAnsi="Palatino Linotype" w:cs="Arial"/>
          <w:sz w:val="24"/>
          <w:lang w:val="es-MX"/>
        </w:rPr>
        <w:t>por lo que la respuesta le resulta incompleta.</w:t>
      </w:r>
    </w:p>
    <w:p w:rsidR="006E5556" w:rsidRPr="00E54ADE" w:rsidRDefault="006E5556" w:rsidP="006E5556">
      <w:pPr>
        <w:spacing w:before="240" w:after="240" w:line="360" w:lineRule="auto"/>
        <w:ind w:left="360"/>
        <w:contextualSpacing/>
        <w:jc w:val="both"/>
        <w:rPr>
          <w:rFonts w:ascii="Palatino Linotype" w:hAnsi="Palatino Linotype" w:cs="Arial"/>
          <w:i/>
          <w:sz w:val="24"/>
          <w:szCs w:val="24"/>
          <w:lang w:val="es-MX"/>
        </w:rPr>
      </w:pP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Si bien es de destacar, que el Sujeto Obligado atiende la solicitud, sin embargo, en el estudio y desarrollo de dicha resolución fueron invocados los llamados “actos consentidos”, tal y como se observa en las siguientes líneas de la resolución en comento:</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En primer término, se puntualiza que de los motivos de inconformidad expresados por la recurrente se advierte que únicamente se inconforma respecto al proceso de selección de los servidores públicos, en este sentido, se precisa que de lo referido con anterioridad se aprecia que el recurrente no señaló motivo de inconformidad alguno para combatir la información relativa a la relación de puestos de secretarias, auxiliares administrativos, técnicos laboratoristas, jefes de oficina, en donde se indique el área de adscripción.</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 xml:space="preserve">Por tal motivo el análisis será únicamente sobre el punto controvertido, no así por el restante; lo anterior es así, debido a que cuando la parte recurrente impugna la respuesta del Sujeto Obligado y no expresa razón o motivo de inconformidad en contra de todos los rubros de la respuesta que pudieran ser un agravio a su derecho, los mismos deben declararse atendidos. </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Sirve de apoyo a lo anterior, por analogía, la Tesis Jurisprudencial Número 3ª./J.7/91, publicada en el Semanario Judicial de la Federación y su Gaceta bajo el número de registro 174,177, que establece lo siguiente:</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w:t>
      </w:r>
      <w:r w:rsidRPr="00E54ADE">
        <w:rPr>
          <w:rFonts w:ascii="Palatino Linotype" w:eastAsia="Times New Roman" w:hAnsi="Palatino Linotype" w:cs="Arial"/>
          <w:i/>
          <w:sz w:val="24"/>
          <w:szCs w:val="24"/>
          <w:lang w:val="es-MX" w:eastAsia="es-MX"/>
        </w:rPr>
        <w:lastRenderedPageBreak/>
        <w:t>no producen efectos jurídicos tendientes a revocar, confirmar o modificar el acto reclamado en amparo, lo que significa consentimiento del mismo por falta de impugnación eficaz.”</w:t>
      </w:r>
    </w:p>
    <w:p w:rsidR="006E5556" w:rsidRPr="00E54ADE" w:rsidRDefault="006E5556" w:rsidP="006E5556">
      <w:pPr>
        <w:spacing w:before="240" w:after="240" w:line="360" w:lineRule="auto"/>
        <w:ind w:left="284" w:right="616"/>
        <w:jc w:val="both"/>
        <w:rPr>
          <w:rFonts w:ascii="Palatino Linotype" w:eastAsia="Times New Roman" w:hAnsi="Palatino Linotype" w:cs="Arial"/>
          <w:i/>
          <w:sz w:val="24"/>
          <w:szCs w:val="24"/>
          <w:lang w:val="es-MX" w:eastAsia="es-MX"/>
        </w:rPr>
      </w:pPr>
      <w:r w:rsidRPr="00E54ADE">
        <w:rPr>
          <w:rFonts w:ascii="Palatino Linotype" w:eastAsia="Times New Roman" w:hAnsi="Palatino Linotype" w:cs="Arial"/>
          <w:i/>
          <w:sz w:val="24"/>
          <w:szCs w:val="24"/>
          <w:lang w:val="es-MX" w:eastAsia="es-MX"/>
        </w:rPr>
        <w:t>Precisado lo anterior, el presente análisis se realizara en relación al proceso de selección de los servidores públicos referidos en la respuesta remitida por parte del Sujeto Obligado.</w:t>
      </w:r>
    </w:p>
    <w:p w:rsidR="006E5556" w:rsidRPr="00E54ADE" w:rsidRDefault="006E5556" w:rsidP="006E5556">
      <w:pPr>
        <w:pStyle w:val="Prrafodelista"/>
        <w:numPr>
          <w:ilvl w:val="0"/>
          <w:numId w:val="1"/>
        </w:numPr>
        <w:tabs>
          <w:tab w:val="left" w:pos="8080"/>
        </w:tabs>
        <w:spacing w:before="100" w:beforeAutospacing="1" w:after="100" w:afterAutospacing="1" w:line="360" w:lineRule="auto"/>
        <w:ind w:right="49"/>
        <w:jc w:val="both"/>
        <w:rPr>
          <w:rFonts w:ascii="Palatino Linotype" w:hAnsi="Palatino Linotype" w:cs="Arial"/>
          <w:lang w:val="es-MX"/>
        </w:rPr>
      </w:pPr>
      <w:r w:rsidRPr="00E54ADE">
        <w:rPr>
          <w:rFonts w:ascii="Palatino Linotype" w:hAnsi="Palatino Linotype" w:cs="Arial"/>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E54ADE">
        <w:rPr>
          <w:rFonts w:ascii="Palatino Linotype" w:eastAsia="Calibri" w:hAnsi="Palatino Linotype"/>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E54ADE">
        <w:rPr>
          <w:rFonts w:ascii="Palatino Linotype" w:eastAsia="Calibri" w:hAnsi="Palatino Linotype"/>
          <w:b/>
        </w:rPr>
        <w:t>SUJETO OBLIGADO</w:t>
      </w:r>
      <w:r w:rsidRPr="00E54ADE">
        <w:rPr>
          <w:rFonts w:ascii="Palatino Linotype" w:eastAsia="Calibri" w:hAnsi="Palatino Linotype"/>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6E5556" w:rsidRPr="00E54ADE" w:rsidRDefault="006E5556" w:rsidP="006E5556">
      <w:pPr>
        <w:spacing w:before="240" w:after="240" w:line="360" w:lineRule="auto"/>
        <w:ind w:left="360" w:right="49"/>
        <w:contextualSpacing/>
        <w:jc w:val="both"/>
        <w:rPr>
          <w:rFonts w:ascii="Palatino Linotype" w:hAnsi="Palatino Linotype" w:cs="Arial"/>
          <w:sz w:val="24"/>
          <w:szCs w:val="24"/>
          <w:lang w:val="es-MX"/>
        </w:rPr>
      </w:pPr>
    </w:p>
    <w:p w:rsidR="006E5556" w:rsidRPr="00E54ADE" w:rsidRDefault="006E5556" w:rsidP="006E5556">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3" w:name="_Toc521328962"/>
      <w:r w:rsidRPr="00E54ADE">
        <w:rPr>
          <w:rFonts w:ascii="Palatino Linotype" w:eastAsiaTheme="majorEastAsia" w:hAnsi="Palatino Linotype" w:cstheme="majorBidi"/>
          <w:b/>
          <w:sz w:val="24"/>
          <w:szCs w:val="24"/>
          <w:lang w:val="es-MX"/>
        </w:rPr>
        <w:lastRenderedPageBreak/>
        <w:t>Los actos consentidos no deben invocarse en el derecho fundamental de acceder a la información pública gubernamental.</w:t>
      </w:r>
      <w:bookmarkEnd w:id="3"/>
    </w:p>
    <w:p w:rsidR="006E5556" w:rsidRPr="00E54ADE" w:rsidRDefault="006E5556" w:rsidP="006E5556">
      <w:pPr>
        <w:spacing w:after="0" w:line="360" w:lineRule="auto"/>
        <w:ind w:left="1080"/>
        <w:contextualSpacing/>
        <w:jc w:val="both"/>
        <w:rPr>
          <w:rFonts w:ascii="Palatino Linotype" w:hAnsi="Palatino Linotype" w:cs="Arial"/>
          <w:b/>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E54ADE">
        <w:rPr>
          <w:rFonts w:ascii="Palatino Linotype" w:hAnsi="Palatino Linotype" w:cs="Arial"/>
          <w:b/>
          <w:sz w:val="24"/>
          <w:szCs w:val="24"/>
          <w:lang w:val="es-MX"/>
        </w:rPr>
        <w:t>acudir a un profesionista del derecho</w:t>
      </w:r>
      <w:r w:rsidRPr="00E54ADE">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6E5556" w:rsidRPr="00E54ADE" w:rsidRDefault="006E5556"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hanging="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E54ADE">
        <w:rPr>
          <w:rFonts w:ascii="Palatino Linotype" w:hAnsi="Palatino Linotype" w:cs="Arial"/>
          <w:vertAlign w:val="superscript"/>
          <w:lang w:val="es-MX"/>
        </w:rPr>
        <w:footnoteReference w:id="1"/>
      </w:r>
      <w:r w:rsidRPr="00E54ADE">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E54ADE">
        <w:rPr>
          <w:rFonts w:ascii="Palatino Linotype" w:hAnsi="Palatino Linotype" w:cs="Arial"/>
          <w:vertAlign w:val="superscript"/>
          <w:lang w:val="es-MX"/>
        </w:rPr>
        <w:footnoteReference w:id="2"/>
      </w:r>
      <w:r w:rsidRPr="00E54ADE">
        <w:rPr>
          <w:rFonts w:ascii="Palatino Linotype" w:hAnsi="Palatino Linotype" w:cs="Arial"/>
          <w:sz w:val="24"/>
          <w:szCs w:val="24"/>
          <w:lang w:val="es-MX"/>
        </w:rPr>
        <w:t xml:space="preserve"> </w:t>
      </w:r>
    </w:p>
    <w:p w:rsidR="006E5556" w:rsidRPr="00E54ADE" w:rsidRDefault="006E5556" w:rsidP="006E5556">
      <w:pPr>
        <w:spacing w:line="360" w:lineRule="auto"/>
        <w:ind w:left="72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hanging="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w:t>
      </w:r>
      <w:r w:rsidRPr="00E54ADE">
        <w:rPr>
          <w:rFonts w:ascii="Palatino Linotype" w:hAnsi="Palatino Linotype" w:cs="Arial"/>
          <w:sz w:val="24"/>
          <w:szCs w:val="24"/>
          <w:lang w:val="es-MX"/>
        </w:rPr>
        <w:lastRenderedPageBreak/>
        <w:t xml:space="preserve">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E54ADE">
        <w:rPr>
          <w:rFonts w:ascii="Palatino Linotype" w:hAnsi="Palatino Linotype" w:cs="Arial"/>
          <w:b/>
          <w:sz w:val="24"/>
          <w:szCs w:val="24"/>
          <w:lang w:val="es-MX"/>
        </w:rPr>
        <w:t>garantía de los derechos humanos</w:t>
      </w:r>
      <w:r w:rsidRPr="00E54ADE">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6E5556" w:rsidRPr="00E54ADE" w:rsidRDefault="006E5556" w:rsidP="006E5556">
      <w:pPr>
        <w:spacing w:after="0" w:line="360" w:lineRule="auto"/>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En este sentido el Dr. Miguel Carbonell ha señalado que:</w:t>
      </w:r>
    </w:p>
    <w:p w:rsidR="006E5556" w:rsidRPr="00E54ADE" w:rsidRDefault="006E5556"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spacing w:after="0" w:line="360" w:lineRule="auto"/>
        <w:ind w:left="426" w:right="61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E54ADE">
        <w:rPr>
          <w:rFonts w:ascii="Palatino Linotype" w:hAnsi="Palatino Linotype" w:cs="Arial"/>
          <w:b/>
          <w:sz w:val="24"/>
          <w:szCs w:val="24"/>
          <w:lang w:val="es-MX"/>
        </w:rPr>
        <w:t>considerando que algún nivel de gobierno tenga obligaciones reforzadas hacia ciertos derechos.</w:t>
      </w:r>
      <w:r w:rsidRPr="00E54ADE">
        <w:rPr>
          <w:rFonts w:ascii="Palatino Linotype" w:hAnsi="Palatino Linotype" w:cs="Arial"/>
          <w:sz w:val="24"/>
          <w:szCs w:val="24"/>
          <w:lang w:val="es-MX"/>
        </w:rPr>
        <w:t xml:space="preserve"> A partir de tales deberes generales, podemos afirmar que las autoridades de todos los niveles de gobierno también tienen la obligación positiva de </w:t>
      </w:r>
      <w:r w:rsidRPr="00E54ADE">
        <w:rPr>
          <w:rFonts w:ascii="Palatino Linotype" w:hAnsi="Palatino Linotype" w:cs="Arial"/>
          <w:b/>
          <w:sz w:val="24"/>
          <w:szCs w:val="24"/>
          <w:lang w:val="es-MX"/>
        </w:rPr>
        <w:t>tomar todas las medidas que sean pertinentes para tutelar y hacer eficaz un derecho</w:t>
      </w:r>
      <w:r w:rsidRPr="00E54ADE">
        <w:rPr>
          <w:rFonts w:ascii="Palatino Linotype" w:hAnsi="Palatino Linotype" w:cs="Arial"/>
          <w:sz w:val="24"/>
          <w:szCs w:val="24"/>
          <w:lang w:val="es-MX"/>
        </w:rPr>
        <w:t>”.</w:t>
      </w:r>
      <w:r w:rsidRPr="00E54ADE">
        <w:rPr>
          <w:rFonts w:ascii="Palatino Linotype" w:hAnsi="Palatino Linotype" w:cs="Arial"/>
          <w:vertAlign w:val="superscript"/>
          <w:lang w:val="es-MX"/>
        </w:rPr>
        <w:footnoteReference w:id="3"/>
      </w:r>
    </w:p>
    <w:p w:rsidR="006E5556" w:rsidRPr="00E54ADE" w:rsidRDefault="006E5556"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 xml:space="preserve"> Por lo que restringir el derecho de acceso a la información pública del particular</w:t>
      </w:r>
      <w:r w:rsidRPr="00E54ADE">
        <w:rPr>
          <w:rFonts w:ascii="Palatino Linotype" w:hAnsi="Palatino Linotype" w:cs="Arial"/>
          <w:b/>
          <w:sz w:val="24"/>
          <w:szCs w:val="24"/>
          <w:lang w:val="es-MX"/>
        </w:rPr>
        <w:t xml:space="preserve"> </w:t>
      </w:r>
      <w:r w:rsidRPr="00E54ADE">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6E5556" w:rsidRPr="00E54ADE" w:rsidRDefault="006E5556" w:rsidP="006E5556">
      <w:pPr>
        <w:spacing w:after="0" w:line="360" w:lineRule="auto"/>
        <w:ind w:left="72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6E5556" w:rsidRPr="00E54ADE" w:rsidRDefault="006E5556" w:rsidP="006E5556">
      <w:pPr>
        <w:spacing w:line="360" w:lineRule="auto"/>
        <w:ind w:left="72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E54ADE">
        <w:rPr>
          <w:rFonts w:ascii="Palatino Linotype" w:hAnsi="Palatino Linotype" w:cs="Arial"/>
          <w:vertAlign w:val="superscript"/>
          <w:lang w:val="es-MX"/>
        </w:rPr>
        <w:footnoteReference w:id="4"/>
      </w:r>
      <w:r w:rsidRPr="00E54ADE">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6E5556" w:rsidRPr="00E54ADE" w:rsidRDefault="006E5556" w:rsidP="006E5556">
      <w:pPr>
        <w:spacing w:line="360" w:lineRule="auto"/>
        <w:ind w:left="72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54ADE">
        <w:rPr>
          <w:rFonts w:ascii="Palatino Linotype" w:hAnsi="Palatino Linotype" w:cs="Arial"/>
          <w:b/>
          <w:sz w:val="24"/>
          <w:szCs w:val="24"/>
          <w:lang w:val="es-MX"/>
        </w:rPr>
        <w:t>el deber que tienen los órganos del Estado, dentro del margen de sus atribuciones, de prevenir violaciones a los derechos fundamentales,</w:t>
      </w:r>
      <w:r w:rsidRPr="00E54ADE">
        <w:rPr>
          <w:rFonts w:ascii="Palatino Linotype" w:hAnsi="Palatino Linotype" w:cs="Arial"/>
          <w:sz w:val="24"/>
          <w:szCs w:val="24"/>
          <w:lang w:val="es-MX"/>
        </w:rPr>
        <w:t xml:space="preserve"> ya sea que </w:t>
      </w:r>
      <w:r w:rsidRPr="00E54ADE">
        <w:rPr>
          <w:rFonts w:ascii="Palatino Linotype" w:hAnsi="Palatino Linotype" w:cs="Arial"/>
          <w:sz w:val="24"/>
          <w:szCs w:val="24"/>
          <w:lang w:val="es-MX"/>
        </w:rPr>
        <w:lastRenderedPageBreak/>
        <w:t xml:space="preserve">provengan de una autoridad o de algún particular y, por ello, </w:t>
      </w:r>
      <w:r w:rsidRPr="00E54ADE">
        <w:rPr>
          <w:rFonts w:ascii="Palatino Linotype" w:hAnsi="Palatino Linotype" w:cs="Arial"/>
          <w:b/>
          <w:sz w:val="24"/>
          <w:szCs w:val="24"/>
          <w:lang w:val="es-MX"/>
        </w:rPr>
        <w:t>debe contarse</w:t>
      </w:r>
      <w:r w:rsidRPr="00E54ADE">
        <w:rPr>
          <w:rFonts w:ascii="Palatino Linotype" w:hAnsi="Palatino Linotype" w:cs="Arial"/>
          <w:sz w:val="24"/>
          <w:szCs w:val="24"/>
          <w:lang w:val="es-MX"/>
        </w:rPr>
        <w:t xml:space="preserve"> tanto </w:t>
      </w:r>
      <w:r w:rsidRPr="00E54ADE">
        <w:rPr>
          <w:rFonts w:ascii="Palatino Linotype" w:hAnsi="Palatino Linotype" w:cs="Arial"/>
          <w:b/>
          <w:sz w:val="24"/>
          <w:szCs w:val="24"/>
          <w:lang w:val="es-MX"/>
        </w:rPr>
        <w:t>con mecanismos</w:t>
      </w:r>
      <w:r w:rsidRPr="00E54ADE">
        <w:rPr>
          <w:rFonts w:ascii="Palatino Linotype" w:hAnsi="Palatino Linotype" w:cs="Arial"/>
          <w:sz w:val="24"/>
          <w:szCs w:val="24"/>
          <w:lang w:val="es-MX"/>
        </w:rPr>
        <w:t xml:space="preserve"> de vigilancia como </w:t>
      </w:r>
      <w:r w:rsidRPr="00E54ADE">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54ADE">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6E5556" w:rsidRPr="00E54ADE" w:rsidRDefault="006E5556" w:rsidP="006E5556">
      <w:pPr>
        <w:spacing w:after="0" w:line="360" w:lineRule="auto"/>
        <w:ind w:left="426"/>
        <w:contextualSpacing/>
        <w:jc w:val="both"/>
        <w:rPr>
          <w:rFonts w:ascii="Palatino Linotype" w:hAnsi="Palatino Linotype" w:cs="Arial"/>
          <w:szCs w:val="24"/>
          <w:lang w:val="es-MX"/>
        </w:rPr>
      </w:pP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E54ADE">
        <w:rPr>
          <w:rFonts w:ascii="Palatino Linotype" w:hAnsi="Palatino Linotype" w:cs="Arial"/>
          <w:b/>
          <w:sz w:val="24"/>
          <w:szCs w:val="24"/>
          <w:lang w:val="es-MX"/>
        </w:rPr>
        <w:t>SUJETOS OBLIGADOS</w:t>
      </w:r>
      <w:r w:rsidRPr="00E54ADE">
        <w:rPr>
          <w:rFonts w:ascii="Palatino Linotype" w:hAnsi="Palatino Linotype" w:cs="Arial"/>
          <w:sz w:val="24"/>
          <w:szCs w:val="24"/>
          <w:lang w:val="es-MX"/>
        </w:rPr>
        <w:t xml:space="preserve"> sea evidente la falta de alguno de ellos, en ese tenor los particulares se ven impedidos, en los hechos, a acceder a una </w:t>
      </w:r>
      <w:r w:rsidRPr="00E54ADE">
        <w:rPr>
          <w:rFonts w:ascii="Palatino Linotype" w:hAnsi="Palatino Linotype" w:cs="Arial"/>
          <w:sz w:val="24"/>
          <w:szCs w:val="24"/>
          <w:lang w:val="es-MX"/>
        </w:rPr>
        <w:lastRenderedPageBreak/>
        <w:t>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6E5556" w:rsidRPr="00E54ADE" w:rsidRDefault="006E5556" w:rsidP="006E5556">
      <w:pPr>
        <w:pStyle w:val="Prrafodelista"/>
        <w:rPr>
          <w:rFonts w:ascii="Palatino Linotype" w:hAnsi="Palatino Linotype" w:cs="Arial"/>
          <w:lang w:val="es-MX"/>
        </w:rPr>
      </w:pPr>
    </w:p>
    <w:p w:rsidR="006E5556" w:rsidRPr="00E54ADE" w:rsidRDefault="006E5556" w:rsidP="006E5556">
      <w:pPr>
        <w:numPr>
          <w:ilvl w:val="0"/>
          <w:numId w:val="1"/>
        </w:numPr>
        <w:spacing w:after="0" w:line="360" w:lineRule="auto"/>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6E5556" w:rsidRPr="00E54ADE" w:rsidRDefault="006E5556" w:rsidP="006E5556">
      <w:pPr>
        <w:spacing w:after="0" w:line="360" w:lineRule="auto"/>
        <w:ind w:left="284"/>
        <w:contextualSpacing/>
        <w:jc w:val="both"/>
        <w:rPr>
          <w:rFonts w:ascii="Palatino Linotype" w:hAnsi="Palatino Linotype" w:cs="Arial"/>
          <w:sz w:val="24"/>
          <w:szCs w:val="24"/>
          <w:lang w:val="es-MX"/>
        </w:rPr>
      </w:pPr>
    </w:p>
    <w:p w:rsidR="006E5556" w:rsidRPr="00E54ADE" w:rsidRDefault="006E5556" w:rsidP="006E5556">
      <w:pPr>
        <w:spacing w:after="0" w:line="360" w:lineRule="auto"/>
        <w:ind w:left="567" w:right="618"/>
        <w:jc w:val="both"/>
        <w:rPr>
          <w:rFonts w:ascii="Palatino Linotype" w:hAnsi="Palatino Linotype" w:cs="Arial"/>
          <w:i/>
          <w:lang w:val="es-MX"/>
        </w:rPr>
      </w:pPr>
      <w:r w:rsidRPr="00E54ADE">
        <w:rPr>
          <w:rFonts w:ascii="Palatino Linotype" w:hAnsi="Palatino Linotype" w:cs="Arial"/>
          <w:i/>
          <w:lang w:val="es-MX"/>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E54ADE">
        <w:rPr>
          <w:rFonts w:ascii="Palatino Linotype" w:hAnsi="Palatino Linotype" w:cs="Arial"/>
          <w:i/>
          <w:vertAlign w:val="superscript"/>
          <w:lang w:val="es-MX"/>
        </w:rPr>
        <w:footnoteReference w:id="5"/>
      </w:r>
    </w:p>
    <w:p w:rsidR="006E5556" w:rsidRPr="00E54ADE" w:rsidRDefault="006E5556" w:rsidP="006E5556">
      <w:pPr>
        <w:spacing w:after="0" w:line="360" w:lineRule="auto"/>
        <w:ind w:left="1134" w:right="618"/>
        <w:jc w:val="both"/>
        <w:rPr>
          <w:rFonts w:ascii="Palatino Linotype" w:hAnsi="Palatino Linotype" w:cs="Arial"/>
          <w:i/>
          <w:lang w:val="es-MX"/>
        </w:rPr>
      </w:pPr>
    </w:p>
    <w:p w:rsidR="006E5556" w:rsidRPr="00E54ADE" w:rsidRDefault="006E5556" w:rsidP="006E5556">
      <w:pPr>
        <w:numPr>
          <w:ilvl w:val="0"/>
          <w:numId w:val="1"/>
        </w:numPr>
        <w:spacing w:after="0" w:line="360" w:lineRule="auto"/>
        <w:ind w:left="426" w:hanging="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6E5556" w:rsidRPr="00E54ADE" w:rsidRDefault="006E5556"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line="360" w:lineRule="auto"/>
        <w:ind w:left="426" w:hanging="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E54ADE">
        <w:rPr>
          <w:rFonts w:ascii="Palatino Linotype" w:hAnsi="Palatino Linotype" w:cs="Arial"/>
          <w:sz w:val="24"/>
          <w:szCs w:val="24"/>
          <w:lang w:val="es-MX"/>
        </w:rPr>
        <w:lastRenderedPageBreak/>
        <w:t>cuando no se pronuncien al respecto, cuando sea evidente que no han sido colmados, en ese sentido no estaríamos garantizando el derecho fundamental.</w:t>
      </w:r>
    </w:p>
    <w:p w:rsidR="006E5556" w:rsidRPr="00E54ADE" w:rsidRDefault="006E5556" w:rsidP="006E5556">
      <w:pPr>
        <w:spacing w:line="360" w:lineRule="auto"/>
        <w:ind w:left="720"/>
        <w:contextualSpacing/>
        <w:jc w:val="both"/>
        <w:rPr>
          <w:rFonts w:ascii="Palatino Linotype" w:hAnsi="Palatino Linotype" w:cs="Arial"/>
          <w:sz w:val="24"/>
          <w:szCs w:val="24"/>
          <w:lang w:val="es-MX"/>
        </w:rPr>
      </w:pPr>
    </w:p>
    <w:p w:rsidR="006E5556" w:rsidRPr="00E54ADE" w:rsidRDefault="006E5556" w:rsidP="006E5556">
      <w:pPr>
        <w:numPr>
          <w:ilvl w:val="0"/>
          <w:numId w:val="1"/>
        </w:numPr>
        <w:spacing w:after="0" w:line="360" w:lineRule="auto"/>
        <w:ind w:left="426" w:hanging="426"/>
        <w:contextualSpacing/>
        <w:jc w:val="both"/>
        <w:rPr>
          <w:rFonts w:ascii="Palatino Linotype" w:hAnsi="Palatino Linotype" w:cs="Arial"/>
          <w:sz w:val="24"/>
          <w:szCs w:val="24"/>
          <w:lang w:val="es-MX"/>
        </w:rPr>
      </w:pPr>
      <w:r w:rsidRPr="00E54ADE">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6E5556" w:rsidRDefault="006E5556" w:rsidP="006E5556">
      <w:pPr>
        <w:spacing w:after="0" w:line="360" w:lineRule="auto"/>
        <w:ind w:left="426"/>
        <w:contextualSpacing/>
        <w:jc w:val="both"/>
        <w:rPr>
          <w:rFonts w:ascii="Palatino Linotype" w:hAnsi="Palatino Linotype" w:cs="Arial"/>
          <w:sz w:val="24"/>
          <w:szCs w:val="24"/>
          <w:lang w:val="es-MX"/>
        </w:rPr>
      </w:pPr>
    </w:p>
    <w:p w:rsidR="00E54ADE" w:rsidRDefault="00E54ADE" w:rsidP="006E5556">
      <w:pPr>
        <w:spacing w:after="0" w:line="360" w:lineRule="auto"/>
        <w:ind w:left="426"/>
        <w:contextualSpacing/>
        <w:jc w:val="both"/>
        <w:rPr>
          <w:rFonts w:ascii="Palatino Linotype" w:hAnsi="Palatino Linotype" w:cs="Arial"/>
          <w:sz w:val="24"/>
          <w:szCs w:val="24"/>
          <w:lang w:val="es-MX"/>
        </w:rPr>
      </w:pPr>
    </w:p>
    <w:p w:rsidR="00E54ADE" w:rsidRDefault="00E54ADE" w:rsidP="006E5556">
      <w:pPr>
        <w:spacing w:after="0" w:line="360" w:lineRule="auto"/>
        <w:ind w:left="426"/>
        <w:contextualSpacing/>
        <w:jc w:val="both"/>
        <w:rPr>
          <w:rFonts w:ascii="Palatino Linotype" w:hAnsi="Palatino Linotype" w:cs="Arial"/>
          <w:sz w:val="24"/>
          <w:szCs w:val="24"/>
          <w:lang w:val="es-MX"/>
        </w:rPr>
      </w:pPr>
    </w:p>
    <w:p w:rsidR="00E54ADE" w:rsidRPr="00E54ADE" w:rsidRDefault="00E54ADE" w:rsidP="006E5556">
      <w:pPr>
        <w:spacing w:after="0" w:line="360" w:lineRule="auto"/>
        <w:ind w:left="426"/>
        <w:contextualSpacing/>
        <w:jc w:val="both"/>
        <w:rPr>
          <w:rFonts w:ascii="Palatino Linotype" w:hAnsi="Palatino Linotype" w:cs="Arial"/>
          <w:sz w:val="24"/>
          <w:szCs w:val="24"/>
          <w:lang w:val="es-MX"/>
        </w:rPr>
      </w:pPr>
    </w:p>
    <w:p w:rsidR="006E5556" w:rsidRPr="00E54ADE" w:rsidRDefault="006E5556" w:rsidP="006E5556">
      <w:pPr>
        <w:spacing w:after="0" w:line="360" w:lineRule="auto"/>
        <w:jc w:val="center"/>
        <w:rPr>
          <w:rFonts w:ascii="Palatino Linotype" w:hAnsi="Palatino Linotype"/>
          <w:b/>
          <w:sz w:val="24"/>
          <w:szCs w:val="24"/>
          <w:lang w:val="es-MX"/>
        </w:rPr>
      </w:pPr>
      <w:r w:rsidRPr="00E54ADE">
        <w:rPr>
          <w:rFonts w:ascii="Palatino Linotype" w:hAnsi="Palatino Linotype"/>
          <w:b/>
          <w:sz w:val="24"/>
          <w:szCs w:val="24"/>
          <w:lang w:val="es-MX"/>
        </w:rPr>
        <w:t>JOSÉ GUADALUPE LUNA HERNÁNDEZ</w:t>
      </w:r>
    </w:p>
    <w:p w:rsidR="006E5556" w:rsidRPr="00E54ADE" w:rsidRDefault="006E5556" w:rsidP="006E5556">
      <w:pPr>
        <w:spacing w:line="360" w:lineRule="auto"/>
        <w:jc w:val="center"/>
        <w:rPr>
          <w:rFonts w:ascii="Palatino Linotype" w:hAnsi="Palatino Linotype"/>
          <w:lang w:val="es-MX"/>
        </w:rPr>
      </w:pPr>
      <w:r w:rsidRPr="00E54ADE">
        <w:rPr>
          <w:rFonts w:ascii="Palatino Linotype" w:hAnsi="Palatino Linotype"/>
          <w:b/>
          <w:sz w:val="24"/>
          <w:szCs w:val="24"/>
          <w:lang w:val="es-MX"/>
        </w:rPr>
        <w:t>COMISIONADO</w:t>
      </w:r>
    </w:p>
    <w:p w:rsidR="007D70C0" w:rsidRDefault="007D70C0" w:rsidP="006E5556">
      <w:pPr>
        <w:spacing w:line="360" w:lineRule="auto"/>
        <w:rPr>
          <w:rFonts w:ascii="Palatino Linotype" w:hAnsi="Palatino Linotype"/>
          <w:b/>
          <w:sz w:val="24"/>
          <w:szCs w:val="24"/>
          <w:lang w:val="es-MX"/>
        </w:rPr>
      </w:pPr>
    </w:p>
    <w:p w:rsidR="006E5556" w:rsidRDefault="006E5556" w:rsidP="006E5556">
      <w:pPr>
        <w:spacing w:line="360" w:lineRule="auto"/>
      </w:pPr>
      <w:r w:rsidRPr="00E54ADE">
        <w:rPr>
          <w:rFonts w:ascii="Palatino Linotype" w:hAnsi="Palatino Linotype"/>
          <w:b/>
          <w:lang w:val="es-MX"/>
        </w:rPr>
        <w:t>JGLH/</w:t>
      </w:r>
      <w:r w:rsidR="00E54ADE">
        <w:rPr>
          <w:rFonts w:ascii="Palatino Linotype" w:hAnsi="Palatino Linotype"/>
          <w:b/>
          <w:lang w:val="es-MX"/>
        </w:rPr>
        <w:t>MSA</w:t>
      </w:r>
      <w:r w:rsidRPr="00E54ADE">
        <w:rPr>
          <w:rFonts w:ascii="Palatino Linotype" w:hAnsi="Palatino Linotype"/>
          <w:b/>
          <w:lang w:val="es-MX"/>
        </w:rPr>
        <w:t>.</w:t>
      </w:r>
    </w:p>
    <w:p w:rsidR="006E5556" w:rsidRDefault="006E5556" w:rsidP="006E5556"/>
    <w:p w:rsidR="006E5556" w:rsidRDefault="006E5556" w:rsidP="006E5556"/>
    <w:p w:rsidR="006E5556" w:rsidRDefault="006E5556" w:rsidP="006E5556"/>
    <w:p w:rsidR="006E5556" w:rsidRDefault="006E5556" w:rsidP="006E5556"/>
    <w:p w:rsidR="00064367" w:rsidRDefault="00064367"/>
    <w:sectPr w:rsidR="0006436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3E4" w:rsidRDefault="008033E4" w:rsidP="006E5556">
      <w:pPr>
        <w:spacing w:after="0" w:line="240" w:lineRule="auto"/>
      </w:pPr>
      <w:r>
        <w:separator/>
      </w:r>
    </w:p>
  </w:endnote>
  <w:endnote w:type="continuationSeparator" w:id="0">
    <w:p w:rsidR="008033E4" w:rsidRDefault="008033E4" w:rsidP="006E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033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903CE3">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A4A19">
              <w:rPr>
                <w:rFonts w:ascii="Palatino Linotype" w:hAnsi="Palatino Linotype"/>
                <w:b/>
                <w:bCs/>
                <w:noProof/>
                <w:sz w:val="20"/>
                <w:szCs w:val="20"/>
              </w:rPr>
              <w:t>3</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A4A19">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8033E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033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3E4" w:rsidRDefault="008033E4" w:rsidP="006E5556">
      <w:pPr>
        <w:spacing w:after="0" w:line="240" w:lineRule="auto"/>
      </w:pPr>
      <w:r>
        <w:separator/>
      </w:r>
    </w:p>
  </w:footnote>
  <w:footnote w:type="continuationSeparator" w:id="0">
    <w:p w:rsidR="008033E4" w:rsidRDefault="008033E4" w:rsidP="006E5556">
      <w:pPr>
        <w:spacing w:after="0" w:line="240" w:lineRule="auto"/>
      </w:pPr>
      <w:r>
        <w:continuationSeparator/>
      </w:r>
    </w:p>
  </w:footnote>
  <w:footnote w:id="1">
    <w:p w:rsidR="006E5556" w:rsidRDefault="006E5556" w:rsidP="006E5556">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6E5556" w:rsidRDefault="006E5556" w:rsidP="006E5556">
      <w:pPr>
        <w:pStyle w:val="Textonotapie"/>
      </w:pPr>
      <w:r>
        <w:rPr>
          <w:rStyle w:val="Refdenotaalpie"/>
        </w:rPr>
        <w:footnoteRef/>
      </w:r>
      <w:r>
        <w:t xml:space="preserve"> </w:t>
      </w:r>
      <w:r w:rsidRPr="00C775C0">
        <w:rPr>
          <w:i/>
        </w:rPr>
        <w:t>Ibídem</w:t>
      </w:r>
      <w:r>
        <w:t>. Pág. 3594.</w:t>
      </w:r>
    </w:p>
  </w:footnote>
  <w:footnote w:id="3">
    <w:p w:rsidR="006E5556" w:rsidRDefault="006E5556" w:rsidP="006E555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6E5556" w:rsidRDefault="006E5556" w:rsidP="006E5556">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6E5556" w:rsidRDefault="006E5556" w:rsidP="006E5556">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033E4">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033E4">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033E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033E4">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7202FA"/>
    <w:multiLevelType w:val="hybridMultilevel"/>
    <w:tmpl w:val="1DD6EC1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6"/>
    <w:rsid w:val="00064367"/>
    <w:rsid w:val="002B1C08"/>
    <w:rsid w:val="004274AD"/>
    <w:rsid w:val="006268C1"/>
    <w:rsid w:val="006A4A19"/>
    <w:rsid w:val="006E5556"/>
    <w:rsid w:val="007D70C0"/>
    <w:rsid w:val="008033E4"/>
    <w:rsid w:val="00903CE3"/>
    <w:rsid w:val="009739B2"/>
    <w:rsid w:val="00C156DB"/>
    <w:rsid w:val="00CE693E"/>
    <w:rsid w:val="00D0285E"/>
    <w:rsid w:val="00E54A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7B5F02-C89C-4F84-91C2-E0F04012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E55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5556"/>
    <w:rPr>
      <w:sz w:val="20"/>
      <w:szCs w:val="20"/>
    </w:rPr>
  </w:style>
  <w:style w:type="paragraph" w:styleId="Piedepgina">
    <w:name w:val="footer"/>
    <w:basedOn w:val="Normal"/>
    <w:link w:val="PiedepginaCar"/>
    <w:uiPriority w:val="99"/>
    <w:semiHidden/>
    <w:unhideWhenUsed/>
    <w:rsid w:val="006E55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E5556"/>
  </w:style>
  <w:style w:type="paragraph" w:styleId="Encabezado">
    <w:name w:val="header"/>
    <w:basedOn w:val="Normal"/>
    <w:link w:val="EncabezadoCar"/>
    <w:uiPriority w:val="99"/>
    <w:semiHidden/>
    <w:unhideWhenUsed/>
    <w:rsid w:val="006E55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E5556"/>
  </w:style>
  <w:style w:type="character" w:styleId="Refdenotaalpie">
    <w:name w:val="footnote reference"/>
    <w:basedOn w:val="Fuentedeprrafopredeter"/>
    <w:uiPriority w:val="99"/>
    <w:unhideWhenUsed/>
    <w:rsid w:val="006E5556"/>
    <w:rPr>
      <w:vertAlign w:val="superscript"/>
    </w:rPr>
  </w:style>
  <w:style w:type="paragraph" w:styleId="Prrafodelista">
    <w:name w:val="List Paragraph"/>
    <w:basedOn w:val="Normal"/>
    <w:link w:val="PrrafodelistaCar"/>
    <w:uiPriority w:val="34"/>
    <w:qFormat/>
    <w:rsid w:val="006E5556"/>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6E5556"/>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unhideWhenUsed/>
    <w:rsid w:val="00E54ADE"/>
    <w:pPr>
      <w:spacing w:after="100"/>
    </w:pPr>
  </w:style>
  <w:style w:type="character" w:styleId="Hipervnculo">
    <w:name w:val="Hyperlink"/>
    <w:basedOn w:val="Fuentedeprrafopredeter"/>
    <w:uiPriority w:val="99"/>
    <w:unhideWhenUsed/>
    <w:rsid w:val="00E54ADE"/>
    <w:rPr>
      <w:color w:val="0563C1" w:themeColor="hyperlink"/>
      <w:u w:val="single"/>
    </w:rPr>
  </w:style>
  <w:style w:type="paragraph" w:styleId="Textodeglobo">
    <w:name w:val="Balloon Text"/>
    <w:basedOn w:val="Normal"/>
    <w:link w:val="TextodegloboCar"/>
    <w:uiPriority w:val="99"/>
    <w:semiHidden/>
    <w:unhideWhenUsed/>
    <w:rsid w:val="007D70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imex.org.mx/saimex/solicitud/downloadAttach/54510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3316</Words>
  <Characters>18242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7</cp:revision>
  <cp:lastPrinted>2018-11-06T19:25:00Z</cp:lastPrinted>
  <dcterms:created xsi:type="dcterms:W3CDTF">2018-08-06T19:28:00Z</dcterms:created>
  <dcterms:modified xsi:type="dcterms:W3CDTF">2018-11-06T19:25:00Z</dcterms:modified>
</cp:coreProperties>
</file>